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17"/>
        <w:ind w:left="1276" w:firstLine="0"/>
        <w:jc w:val="righ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Приложение №5</w:t>
      </w:r>
      <w:r>
        <w:rPr>
          <w:sz w:val="20"/>
          <w:szCs w:val="20"/>
        </w:rPr>
        <w:t xml:space="preserve"> к Договору подряда № ______/ПТС-26 от  __________2026 </w:t>
      </w:r>
      <w:r>
        <w:rPr>
          <w:sz w:val="20"/>
          <w:szCs w:val="20"/>
        </w:rPr>
      </w:r>
    </w:p>
    <w:p>
      <w:pPr>
        <w:pStyle w:val="617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617"/>
        <w:ind w:firstLine="0"/>
        <w:jc w:val="center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Размер ответственности Подрядчика за нарушения</w:t>
      </w:r>
      <w:r>
        <w:rPr>
          <w:b/>
          <w:bCs/>
          <w:sz w:val="24"/>
          <w:szCs w:val="24"/>
        </w:rPr>
      </w:r>
    </w:p>
    <w:p>
      <w:pPr>
        <w:pStyle w:val="617"/>
        <w:ind w:firstLine="0"/>
        <w:jc w:val="center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пропускного и внутриобъектового режима, требований охраны труда,</w:t>
      </w:r>
      <w:r>
        <w:rPr>
          <w:b/>
          <w:bCs/>
          <w:sz w:val="24"/>
          <w:szCs w:val="24"/>
        </w:rPr>
      </w:r>
    </w:p>
    <w:p>
      <w:pPr>
        <w:pStyle w:val="617"/>
        <w:ind w:firstLine="0"/>
        <w:jc w:val="center"/>
        <w:spacing w:line="240" w:lineRule="auto"/>
        <w:rPr>
          <w:b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 xml:space="preserve">пожарной и промышленной безопасности</w:t>
      </w:r>
      <w:r>
        <w:rPr>
          <w:b/>
          <w:color w:val="000000"/>
          <w:sz w:val="24"/>
          <w:szCs w:val="24"/>
        </w:rPr>
      </w:r>
    </w:p>
    <w:tbl>
      <w:tblPr>
        <w:tblW w:w="5000" w:type="pct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3568"/>
        <w:gridCol w:w="5927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68" w:type="dxa"/>
            <w:textDirection w:val="lrTb"/>
            <w:noWrap w:val="false"/>
          </w:tcPr>
          <w:p>
            <w:pPr>
              <w:pStyle w:val="617"/>
              <w:ind w:firstLine="0"/>
              <w:spacing w:line="240" w:lineRule="auto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Виды нарушений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27" w:type="dxa"/>
            <w:textDirection w:val="lrTb"/>
            <w:noWrap w:val="false"/>
          </w:tcPr>
          <w:p>
            <w:pPr>
              <w:pStyle w:val="617"/>
              <w:ind w:firstLine="0"/>
              <w:spacing w:line="240" w:lineRule="auto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Штрафные санкции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68" w:type="dxa"/>
            <w:textDirection w:val="lrTb"/>
            <w:noWrap w:val="false"/>
          </w:tcPr>
          <w:p>
            <w:pPr>
              <w:pStyle w:val="617"/>
              <w:ind w:firstLine="0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1. Нарушение правил пожарной безопасности (ППБ):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27" w:type="dxa"/>
            <w:textDirection w:val="lrTb"/>
            <w:noWrap w:val="false"/>
          </w:tcPr>
          <w:p>
            <w:pPr>
              <w:pStyle w:val="617"/>
              <w:ind w:firstLine="0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68" w:type="dxa"/>
            <w:textDirection w:val="lrTb"/>
            <w:noWrap w:val="false"/>
          </w:tcPr>
          <w:p>
            <w:pPr>
              <w:pStyle w:val="617"/>
              <w:ind w:firstLine="0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 Нарушение ППБ без возникновения пожара</w:t>
            </w:r>
            <w:r>
              <w:rPr>
                <w:sz w:val="24"/>
                <w:szCs w:val="24"/>
              </w:rPr>
            </w:r>
          </w:p>
          <w:p>
            <w:pPr>
              <w:pStyle w:val="617"/>
              <w:ind w:firstLine="0"/>
              <w:spacing w:line="240" w:lineRule="auto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27" w:type="dxa"/>
            <w:textDirection w:val="lrTb"/>
            <w:noWrap w:val="false"/>
          </w:tcPr>
          <w:p>
            <w:pPr>
              <w:pStyle w:val="617"/>
              <w:ind w:left="0" w:right="0" w:firstLine="0"/>
              <w:jc w:val="both"/>
              <w:spacing w:before="0" w:beforeAutospacing="0" w:after="0" w:afterAutospacing="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25 000 (двадцать пять тысяч) рублей за каждый случай нарушения.</w:t>
            </w:r>
            <w:r>
              <w:rPr>
                <w:sz w:val="24"/>
                <w:szCs w:val="24"/>
              </w:rPr>
            </w:r>
          </w:p>
          <w:p>
            <w:pPr>
              <w:pStyle w:val="617"/>
              <w:ind w:firstLine="0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штрафа, установленная настоящим пунктом, увеличивается на 50 (пятьдесят) % по отношению к предыдущему случаю за каждое следующее нарушение.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68" w:type="dxa"/>
            <w:textDirection w:val="lrTb"/>
            <w:noWrap w:val="false"/>
          </w:tcPr>
          <w:p>
            <w:pPr>
              <w:pStyle w:val="617"/>
              <w:ind w:firstLine="0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 Нарушение ППБ, ставшее причиной возникновения пожара, не причинившего ущерб имуществу Заказчика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27" w:type="dxa"/>
            <w:textDirection w:val="lrTb"/>
            <w:noWrap w:val="false"/>
          </w:tcPr>
          <w:p>
            <w:pPr>
              <w:pStyle w:val="617"/>
              <w:ind w:firstLine="0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50 000 (пятьдесят тысяч) рублей за каждый случай нарушения.</w:t>
            </w:r>
            <w:r>
              <w:rPr>
                <w:sz w:val="24"/>
                <w:szCs w:val="24"/>
              </w:rPr>
            </w:r>
          </w:p>
          <w:p>
            <w:pPr>
              <w:pStyle w:val="617"/>
              <w:ind w:firstLine="0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штрафа, установленная настоящим пунктом, увеличивается на 100 (сто) % по отношению к предыдущему случаю за каждое следующее нарушение.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68" w:type="dxa"/>
            <w:textDirection w:val="lrTb"/>
            <w:noWrap w:val="false"/>
          </w:tcPr>
          <w:p>
            <w:pPr>
              <w:pStyle w:val="617"/>
              <w:ind w:firstLine="0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 Нарушение ППБ, ставшее причиной возникновения пожара, причинившего ущерб имуществу Заказчика.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27" w:type="dxa"/>
            <w:textDirection w:val="lrTb"/>
            <w:noWrap w:val="false"/>
          </w:tcPr>
          <w:p>
            <w:pPr>
              <w:pStyle w:val="617"/>
              <w:ind w:firstLine="0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250 000 (двести пятьдесят тысяч) рублей за каждый случай нарушения.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68" w:type="dxa"/>
            <w:textDirection w:val="lrTb"/>
            <w:noWrap w:val="false"/>
          </w:tcPr>
          <w:p>
            <w:pPr>
              <w:pStyle w:val="617"/>
              <w:ind w:firstLine="0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1.4.  Нарушение требований  охраны труда и ППБ при выполнении работ на объектах Заказчика, приведшие к несчастному случаю: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27" w:type="dxa"/>
            <w:textDirection w:val="lrTb"/>
            <w:noWrap w:val="false"/>
          </w:tcPr>
          <w:p>
            <w:pPr>
              <w:pStyle w:val="617"/>
              <w:ind w:left="0" w:firstLine="0"/>
              <w:spacing w:line="240" w:lineRule="auto"/>
              <w:widowControl w:val="off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500 000 (пятьсот тысяч) рублей при получении легкого вреда здоровью;</w:t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617"/>
              <w:ind w:left="0" w:firstLine="0"/>
              <w:spacing w:line="240" w:lineRule="auto"/>
              <w:widowControl w:val="off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1 000 000 (один миллион) рублей при получении тяжкого вреда здоровью;</w:t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617"/>
              <w:ind w:left="0" w:firstLine="0"/>
              <w:spacing w:line="240" w:lineRule="auto"/>
              <w:widowControl w:val="off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2 000 000 (два миллион) рублей при смертельном исходе.</w:t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68" w:type="dxa"/>
            <w:textDirection w:val="lrTb"/>
            <w:noWrap w:val="false"/>
          </w:tcPr>
          <w:p>
            <w:pPr>
              <w:pStyle w:val="617"/>
              <w:ind w:firstLine="0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2.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Нарушение пропускного и внутриобъектового режима, </w:t>
            </w:r>
            <w:r>
              <w:rPr>
                <w:color w:val="000000"/>
                <w:sz w:val="24"/>
              </w:rPr>
              <w:t xml:space="preserve">требований охраны труда, пожарной и промышленной безопасности, охраны окружающей среды, санитарно-эпидемиологических правил и норм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27" w:type="dxa"/>
            <w:textDirection w:val="lrTb"/>
            <w:noWrap w:val="false"/>
          </w:tcPr>
          <w:p>
            <w:pPr>
              <w:pStyle w:val="617"/>
              <w:ind w:firstLine="0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50 000 (пятьдесят тысяч) рублей за каждый случай нарушения;</w:t>
            </w:r>
            <w:r>
              <w:rPr>
                <w:sz w:val="24"/>
                <w:szCs w:val="24"/>
              </w:rPr>
            </w:r>
          </w:p>
          <w:p>
            <w:pPr>
              <w:pStyle w:val="617"/>
              <w:ind w:firstLine="0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500 (пятьсот) рублей в случае утраты или приведения в негодность электронного пропуска, выданного Заказчиком.</w:t>
            </w:r>
            <w:r>
              <w:rPr>
                <w:sz w:val="24"/>
                <w:szCs w:val="24"/>
              </w:rPr>
            </w:r>
          </w:p>
          <w:p>
            <w:pPr>
              <w:pStyle w:val="617"/>
              <w:ind w:firstLine="0"/>
              <w:spacing w:line="240" w:lineRule="auto"/>
              <w:widowControl w:val="off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Сумма штрафа, установленная настоящим пунктом, увеличивается на 100% по отношению </w:t>
              <w:br/>
              <w:t xml:space="preserve">к предыдущему случаю за каждое следующее нарушение.</w:t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68" w:type="dxa"/>
            <w:textDirection w:val="lrTb"/>
            <w:noWrap w:val="false"/>
          </w:tcPr>
          <w:p>
            <w:pPr>
              <w:pStyle w:val="617"/>
              <w:ind w:left="0" w:firstLine="0"/>
              <w:spacing w:line="240" w:lineRule="auto"/>
              <w:widowControl w:val="off"/>
              <w:rPr>
                <w:sz w:val="24"/>
                <w:szCs w:val="24"/>
                <w:highlight w:val="none"/>
              </w:rPr>
            </w:pPr>
            <w:r>
              <w:rPr>
                <w:sz w:val="24"/>
              </w:rPr>
              <w:t xml:space="preserve">2.1. </w:t>
            </w:r>
            <w:r>
              <w:rPr>
                <w:sz w:val="24"/>
                <w:szCs w:val="24"/>
              </w:rPr>
              <w:t xml:space="preserve">Нарушение требований охраны труду и пожарной безопасности при выполнении работ на объектах Заказчика, приведшие к несчастному случаю</w:t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27" w:type="dxa"/>
            <w:textDirection w:val="lrTb"/>
            <w:noWrap w:val="false"/>
          </w:tcPr>
          <w:p>
            <w:pPr>
              <w:pStyle w:val="617"/>
              <w:ind w:left="0" w:firstLine="0"/>
              <w:spacing w:line="240" w:lineRule="auto"/>
              <w:widowControl w:val="off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1 000 000 (один миллион) рублей при получении тяжкого вреда здоровью;</w:t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617"/>
              <w:ind w:left="0" w:firstLine="0"/>
              <w:spacing w:line="240" w:lineRule="auto"/>
              <w:widowControl w:val="off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2 000 000 (два миллион) рублей при смертельном исходе.</w:t>
            </w:r>
            <w:r>
              <w:rPr>
                <w:sz w:val="24"/>
                <w:szCs w:val="24"/>
                <w:highlight w:val="none"/>
              </w:rPr>
            </w:r>
          </w:p>
        </w:tc>
      </w:tr>
    </w:tbl>
    <w:p>
      <w:pPr>
        <w:pStyle w:val="617"/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Каждое из указанных выше нарушений должно быть подтверждено Актом выявленных нарушений.</w:t>
      </w:r>
      <w:r>
        <w:rPr>
          <w:sz w:val="24"/>
          <w:szCs w:val="24"/>
        </w:rPr>
      </w:r>
    </w:p>
    <w:tbl>
      <w:tblPr>
        <w:tblW w:w="10065" w:type="dxa"/>
        <w:tblInd w:w="11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956"/>
        <w:gridCol w:w="5108"/>
      </w:tblGrid>
      <w:tr>
        <w:tblPrEx/>
        <w:trPr/>
        <w:tc>
          <w:tcPr>
            <w:tcW w:w="495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8"/>
                <w:lang w:eastAsia="ru-RU"/>
              </w:rPr>
              <w:t xml:space="preserve">Заказчик: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8"/>
              </w:rPr>
            </w:r>
          </w:p>
        </w:tc>
        <w:tc>
          <w:tcPr>
            <w:tcW w:w="510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8"/>
                <w:lang w:eastAsia="ru-RU"/>
              </w:rPr>
              <w:t xml:space="preserve">Подрядчик: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8"/>
              </w:rPr>
            </w:r>
          </w:p>
        </w:tc>
      </w:tr>
      <w:tr>
        <w:tblPrEx/>
        <w:trPr/>
        <w:tc>
          <w:tcPr>
            <w:tcW w:w="4956" w:type="dxa"/>
            <w:textDirection w:val="lrTb"/>
            <w:noWrap w:val="false"/>
          </w:tcPr>
          <w:p>
            <w:r/>
            <w:r/>
          </w:p>
        </w:tc>
        <w:tc>
          <w:tcPr>
            <w:tcW w:w="5108" w:type="dxa"/>
            <w:textDirection w:val="lrTb"/>
            <w:noWrap w:val="false"/>
          </w:tcPr>
          <w:p>
            <w:r/>
            <w:r/>
          </w:p>
        </w:tc>
      </w:tr>
    </w:tbl>
    <w:p>
      <w:pPr>
        <w:pStyle w:val="617"/>
      </w:pPr>
      <w:r/>
      <w:r/>
    </w:p>
    <w:sectPr>
      <w:footnotePr/>
      <w:endnotePr/>
      <w:type w:val="nextPage"/>
      <w:pgSz w:w="11906" w:h="16838" w:orient="portrait"/>
      <w:pgMar w:top="794" w:right="709" w:bottom="1134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Liberation Sans">
    <w:panose1 w:val="020B0604020202020204"/>
  </w:font>
  <w:font w:name="Noto Sans CJK SC">
    <w:panose1 w:val="020B0502040504020204"/>
  </w:font>
  <w:font w:name="Tahoma">
    <w:panose1 w:val="020B0604030504040204"/>
  </w:font>
  <w:font w:name="Times New Roman">
    <w:panose1 w:val="020206030504050203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617" w:default="1">
    <w:name w:val="Normal"/>
    <w:qFormat/>
    <w:pPr>
      <w:ind w:firstLine="567"/>
      <w:jc w:val="both"/>
      <w:spacing w:before="0" w:beforeAutospacing="0" w:after="0" w:afterAutospacing="0" w:line="360" w:lineRule="auto"/>
      <w:widowControl/>
    </w:pPr>
    <w:rPr>
      <w:rFonts w:ascii="Times New Roman" w:hAnsi="Times New Roman" w:eastAsia="Times New Roman" w:cs="Times New Roman"/>
      <w:color w:val="auto"/>
      <w:sz w:val="28"/>
      <w:szCs w:val="28"/>
      <w:lang w:val="ru-RU" w:eastAsia="ru-RU" w:bidi="ar-SA"/>
    </w:rPr>
  </w:style>
  <w:style w:type="paragraph" w:styleId="618">
    <w:name w:val="Heading 1"/>
    <w:basedOn w:val="61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19">
    <w:name w:val="Heading 2"/>
    <w:basedOn w:val="61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20">
    <w:name w:val="Heading 3"/>
    <w:basedOn w:val="6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21">
    <w:name w:val="Heading 4"/>
    <w:basedOn w:val="61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22">
    <w:name w:val="Heading 5"/>
    <w:basedOn w:val="61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23">
    <w:name w:val="Heading 6"/>
    <w:basedOn w:val="61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24">
    <w:name w:val="Heading 7"/>
    <w:basedOn w:val="61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25">
    <w:name w:val="Heading 8"/>
    <w:basedOn w:val="61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26">
    <w:name w:val="Heading 9"/>
    <w:basedOn w:val="61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27">
    <w:name w:val="Heading 1 Char"/>
    <w:basedOn w:val="650"/>
    <w:uiPriority w:val="9"/>
    <w:qFormat/>
    <w:rPr>
      <w:rFonts w:ascii="Arial" w:hAnsi="Arial" w:eastAsia="Arial" w:cs="Arial"/>
      <w:sz w:val="40"/>
      <w:szCs w:val="40"/>
    </w:rPr>
  </w:style>
  <w:style w:type="character" w:styleId="628">
    <w:name w:val="Heading 2 Char"/>
    <w:basedOn w:val="650"/>
    <w:uiPriority w:val="9"/>
    <w:qFormat/>
    <w:rPr>
      <w:rFonts w:ascii="Arial" w:hAnsi="Arial" w:eastAsia="Arial" w:cs="Arial"/>
      <w:sz w:val="34"/>
    </w:rPr>
  </w:style>
  <w:style w:type="character" w:styleId="629">
    <w:name w:val="Heading 3 Char"/>
    <w:basedOn w:val="650"/>
    <w:uiPriority w:val="9"/>
    <w:qFormat/>
    <w:rPr>
      <w:rFonts w:ascii="Arial" w:hAnsi="Arial" w:eastAsia="Arial" w:cs="Arial"/>
      <w:sz w:val="30"/>
      <w:szCs w:val="30"/>
    </w:rPr>
  </w:style>
  <w:style w:type="character" w:styleId="630">
    <w:name w:val="Heading 4 Char"/>
    <w:basedOn w:val="650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31">
    <w:name w:val="Heading 5 Char"/>
    <w:basedOn w:val="650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32">
    <w:name w:val="Heading 6 Char"/>
    <w:basedOn w:val="650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33">
    <w:name w:val="Heading 7 Char"/>
    <w:basedOn w:val="650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34">
    <w:name w:val="Heading 8 Char"/>
    <w:basedOn w:val="650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35">
    <w:name w:val="Heading 9 Char"/>
    <w:basedOn w:val="650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36">
    <w:name w:val="Title Char"/>
    <w:basedOn w:val="650"/>
    <w:uiPriority w:val="10"/>
    <w:qFormat/>
    <w:rPr>
      <w:sz w:val="48"/>
      <w:szCs w:val="48"/>
    </w:rPr>
  </w:style>
  <w:style w:type="character" w:styleId="637">
    <w:name w:val="Subtitle Char"/>
    <w:basedOn w:val="650"/>
    <w:uiPriority w:val="11"/>
    <w:qFormat/>
    <w:rPr>
      <w:sz w:val="24"/>
      <w:szCs w:val="24"/>
    </w:rPr>
  </w:style>
  <w:style w:type="character" w:styleId="638">
    <w:name w:val="Quote Char"/>
    <w:uiPriority w:val="29"/>
    <w:qFormat/>
    <w:rPr>
      <w:i/>
    </w:rPr>
  </w:style>
  <w:style w:type="character" w:styleId="639">
    <w:name w:val="Intense Quote Char"/>
    <w:uiPriority w:val="30"/>
    <w:qFormat/>
    <w:rPr>
      <w:i/>
    </w:rPr>
  </w:style>
  <w:style w:type="character" w:styleId="640">
    <w:name w:val="Header Char"/>
    <w:basedOn w:val="650"/>
    <w:uiPriority w:val="99"/>
    <w:qFormat/>
  </w:style>
  <w:style w:type="character" w:styleId="641">
    <w:name w:val="Footer Char"/>
    <w:basedOn w:val="650"/>
    <w:uiPriority w:val="99"/>
    <w:qFormat/>
  </w:style>
  <w:style w:type="character" w:styleId="642">
    <w:name w:val="Caption Char"/>
    <w:uiPriority w:val="99"/>
    <w:qFormat/>
  </w:style>
  <w:style w:type="character" w:styleId="643">
    <w:name w:val="Hyperlink"/>
    <w:uiPriority w:val="99"/>
    <w:unhideWhenUsed/>
    <w:rPr>
      <w:color w:val="0000ff" w:themeColor="hyperlink"/>
      <w:u w:val="single"/>
    </w:rPr>
  </w:style>
  <w:style w:type="character" w:styleId="644">
    <w:name w:val="Footnote Text Char"/>
    <w:uiPriority w:val="99"/>
    <w:qFormat/>
    <w:rPr>
      <w:sz w:val="18"/>
    </w:rPr>
  </w:style>
  <w:style w:type="character" w:styleId="645">
    <w:name w:val="Символ сноски"/>
    <w:uiPriority w:val="99"/>
    <w:unhideWhenUsed/>
    <w:qFormat/>
    <w:rPr>
      <w:vertAlign w:val="superscript"/>
    </w:rPr>
  </w:style>
  <w:style w:type="character" w:styleId="646">
    <w:name w:val="footnote reference"/>
    <w:rPr>
      <w:vertAlign w:val="superscript"/>
    </w:rPr>
  </w:style>
  <w:style w:type="character" w:styleId="647">
    <w:name w:val="Endnote Text Char"/>
    <w:uiPriority w:val="99"/>
    <w:qFormat/>
    <w:rPr>
      <w:sz w:val="20"/>
    </w:rPr>
  </w:style>
  <w:style w:type="character" w:styleId="648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649">
    <w:name w:val="endnote reference"/>
    <w:rPr>
      <w:vertAlign w:val="superscript"/>
    </w:rPr>
  </w:style>
  <w:style w:type="character" w:styleId="650" w:default="1">
    <w:name w:val="Default Paragraph Font"/>
    <w:uiPriority w:val="1"/>
    <w:semiHidden/>
    <w:unhideWhenUsed/>
    <w:qFormat/>
  </w:style>
  <w:style w:type="character" w:styleId="651" w:customStyle="1">
    <w:name w:val="Текст выноски Знак"/>
    <w:basedOn w:val="650"/>
    <w:uiPriority w:val="99"/>
    <w:semiHidden/>
    <w:qFormat/>
    <w:rPr>
      <w:rFonts w:ascii="Tahoma" w:hAnsi="Tahoma" w:eastAsia="Times New Roman" w:cs="Tahoma"/>
      <w:sz w:val="16"/>
      <w:szCs w:val="16"/>
      <w:lang w:eastAsia="ru-RU"/>
    </w:rPr>
  </w:style>
  <w:style w:type="paragraph" w:styleId="652">
    <w:name w:val="Заголовок"/>
    <w:basedOn w:val="617"/>
    <w:next w:val="653"/>
    <w:qFormat/>
    <w:pPr>
      <w:keepNext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653">
    <w:name w:val="Body Text"/>
    <w:basedOn w:val="617"/>
    <w:pPr>
      <w:spacing w:before="0" w:after="140" w:line="276" w:lineRule="auto"/>
    </w:pPr>
  </w:style>
  <w:style w:type="paragraph" w:styleId="654">
    <w:name w:val="List"/>
    <w:basedOn w:val="653"/>
    <w:rPr>
      <w:rFonts w:cs="Arial Unicode MS"/>
    </w:rPr>
  </w:style>
  <w:style w:type="paragraph" w:styleId="655">
    <w:name w:val="Caption"/>
    <w:basedOn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656">
    <w:name w:val="Указатель"/>
    <w:basedOn w:val="617"/>
    <w:qFormat/>
    <w:pPr>
      <w:suppressLineNumbers/>
    </w:pPr>
    <w:rPr>
      <w:rFonts w:cs="Arial Unicode MS"/>
    </w:rPr>
  </w:style>
  <w:style w:type="paragraph" w:styleId="657">
    <w:name w:val="List Paragraph"/>
    <w:basedOn w:val="617"/>
    <w:uiPriority w:val="34"/>
    <w:qFormat/>
    <w:pPr>
      <w:contextualSpacing/>
      <w:ind w:left="720" w:firstLine="0"/>
      <w:spacing w:before="0" w:after="200"/>
    </w:pPr>
  </w:style>
  <w:style w:type="paragraph" w:styleId="658">
    <w:name w:val="No Spacing"/>
    <w:uiPriority w:val="1"/>
    <w:qFormat/>
    <w:pPr>
      <w:jc w:val="left"/>
      <w:spacing w:before="0" w:beforeAutospacing="0" w:after="0" w:afterAutospacing="0" w:line="240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659">
    <w:name w:val="Title"/>
    <w:basedOn w:val="617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660">
    <w:name w:val="Subtitle"/>
    <w:basedOn w:val="617"/>
    <w:uiPriority w:val="11"/>
    <w:qFormat/>
    <w:pPr>
      <w:spacing w:before="200" w:after="200"/>
    </w:pPr>
    <w:rPr>
      <w:sz w:val="24"/>
      <w:szCs w:val="24"/>
    </w:rPr>
  </w:style>
  <w:style w:type="paragraph" w:styleId="661">
    <w:name w:val="Quote"/>
    <w:basedOn w:val="617"/>
    <w:uiPriority w:val="29"/>
    <w:qFormat/>
    <w:pPr>
      <w:ind w:left="720" w:right="720" w:firstLine="0"/>
    </w:pPr>
    <w:rPr>
      <w:i/>
    </w:rPr>
  </w:style>
  <w:style w:type="paragraph" w:styleId="662">
    <w:name w:val="Intense Quote"/>
    <w:basedOn w:val="617"/>
    <w:uiPriority w:val="30"/>
    <w:qFormat/>
    <w:pPr>
      <w:ind w:left="720" w:right="720" w:firstLine="0"/>
      <w:spacing w:before="0" w:after="20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663">
    <w:name w:val="Колонтитул"/>
    <w:basedOn w:val="617"/>
    <w:qFormat/>
  </w:style>
  <w:style w:type="paragraph" w:styleId="664">
    <w:name w:val="Header"/>
    <w:basedOn w:val="617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665">
    <w:name w:val="Footer"/>
    <w:basedOn w:val="617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666">
    <w:name w:val="footnote text"/>
    <w:basedOn w:val="617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667">
    <w:name w:val="endnote text"/>
    <w:basedOn w:val="617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668">
    <w:name w:val="toc 1"/>
    <w:basedOn w:val="617"/>
    <w:uiPriority w:val="39"/>
    <w:unhideWhenUsed/>
    <w:pPr>
      <w:ind w:left="0" w:right="0" w:firstLine="0"/>
      <w:spacing w:before="0" w:after="57"/>
    </w:pPr>
  </w:style>
  <w:style w:type="paragraph" w:styleId="669">
    <w:name w:val="toc 2"/>
    <w:basedOn w:val="617"/>
    <w:uiPriority w:val="39"/>
    <w:unhideWhenUsed/>
    <w:pPr>
      <w:ind w:left="283" w:right="0" w:firstLine="0"/>
      <w:spacing w:before="0" w:after="57"/>
    </w:pPr>
  </w:style>
  <w:style w:type="paragraph" w:styleId="670">
    <w:name w:val="toc 3"/>
    <w:basedOn w:val="617"/>
    <w:uiPriority w:val="39"/>
    <w:unhideWhenUsed/>
    <w:pPr>
      <w:ind w:left="567" w:right="0" w:firstLine="0"/>
      <w:spacing w:before="0" w:after="57"/>
    </w:pPr>
  </w:style>
  <w:style w:type="paragraph" w:styleId="671">
    <w:name w:val="toc 4"/>
    <w:basedOn w:val="617"/>
    <w:uiPriority w:val="39"/>
    <w:unhideWhenUsed/>
    <w:pPr>
      <w:ind w:left="850" w:right="0" w:firstLine="0"/>
      <w:spacing w:before="0" w:after="57"/>
    </w:pPr>
  </w:style>
  <w:style w:type="paragraph" w:styleId="672">
    <w:name w:val="toc 5"/>
    <w:basedOn w:val="617"/>
    <w:uiPriority w:val="39"/>
    <w:unhideWhenUsed/>
    <w:pPr>
      <w:ind w:left="1134" w:right="0" w:firstLine="0"/>
      <w:spacing w:before="0" w:after="57"/>
    </w:pPr>
  </w:style>
  <w:style w:type="paragraph" w:styleId="673">
    <w:name w:val="toc 6"/>
    <w:basedOn w:val="617"/>
    <w:uiPriority w:val="39"/>
    <w:unhideWhenUsed/>
    <w:pPr>
      <w:ind w:left="1417" w:right="0" w:firstLine="0"/>
      <w:spacing w:before="0" w:after="57"/>
    </w:pPr>
  </w:style>
  <w:style w:type="paragraph" w:styleId="674">
    <w:name w:val="toc 7"/>
    <w:basedOn w:val="617"/>
    <w:uiPriority w:val="39"/>
    <w:unhideWhenUsed/>
    <w:pPr>
      <w:ind w:left="1701" w:right="0" w:firstLine="0"/>
      <w:spacing w:before="0" w:after="57"/>
    </w:pPr>
  </w:style>
  <w:style w:type="paragraph" w:styleId="675">
    <w:name w:val="toc 8"/>
    <w:basedOn w:val="617"/>
    <w:uiPriority w:val="39"/>
    <w:unhideWhenUsed/>
    <w:pPr>
      <w:ind w:left="1984" w:right="0" w:firstLine="0"/>
      <w:spacing w:before="0" w:after="57"/>
    </w:pPr>
  </w:style>
  <w:style w:type="paragraph" w:styleId="676">
    <w:name w:val="toc 9"/>
    <w:basedOn w:val="617"/>
    <w:uiPriority w:val="39"/>
    <w:unhideWhenUsed/>
    <w:pPr>
      <w:ind w:left="2268" w:right="0" w:firstLine="0"/>
      <w:spacing w:before="0" w:after="57"/>
    </w:pPr>
  </w:style>
  <w:style w:type="paragraph" w:styleId="677">
    <w:name w:val="Index Heading"/>
    <w:basedOn w:val="652"/>
  </w:style>
  <w:style w:type="paragraph" w:styleId="678">
    <w:name w:val="TOC Heading"/>
    <w:uiPriority w:val="39"/>
    <w:unhideWhenUsed/>
    <w:qFormat/>
    <w:pPr>
      <w:jc w:val="left"/>
      <w:spacing w:before="0" w:beforeAutospacing="0" w:after="200" w:afterAutospacing="0" w:line="276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679">
    <w:name w:val="table of figures"/>
    <w:basedOn w:val="617"/>
    <w:uiPriority w:val="99"/>
    <w:unhideWhenUsed/>
    <w:qFormat/>
    <w:pPr>
      <w:spacing w:before="0" w:after="0" w:afterAutospacing="0"/>
    </w:pPr>
  </w:style>
  <w:style w:type="paragraph" w:styleId="680">
    <w:name w:val="Balloon Text"/>
    <w:basedOn w:val="617"/>
    <w:uiPriority w:val="99"/>
    <w:semiHidden/>
    <w:unhideWhenUsed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styleId="681" w:customStyle="1">
    <w:name w:val="Default"/>
    <w:qFormat/>
    <w:pPr>
      <w:jc w:val="left"/>
      <w:spacing w:before="0" w:beforeAutospacing="0" w:after="0" w:afterAutospacing="0" w:line="240" w:lineRule="auto"/>
      <w:widowControl/>
    </w:pPr>
    <w:rPr>
      <w:rFonts w:ascii="Times New Roman" w:hAnsi="Times New Roman" w:eastAsia="Calibri" w:cs="Times New Roman"/>
      <w:color w:val="000000"/>
      <w:sz w:val="24"/>
      <w:szCs w:val="24"/>
      <w:lang w:val="ru-RU" w:eastAsia="en-US" w:bidi="ar-SA"/>
    </w:rPr>
  </w:style>
  <w:style w:type="paragraph" w:styleId="682">
    <w:name w:val="Содержимое таблицы"/>
    <w:basedOn w:val="617"/>
    <w:qFormat/>
    <w:pPr>
      <w:widowControl w:val="off"/>
      <w:suppressLineNumbers/>
    </w:pPr>
  </w:style>
  <w:style w:type="paragraph" w:styleId="683">
    <w:name w:val="Заголовок таблицы"/>
    <w:basedOn w:val="682"/>
    <w:qFormat/>
    <w:pPr>
      <w:jc w:val="center"/>
      <w:suppressLineNumbers/>
    </w:pPr>
    <w:rPr>
      <w:b/>
      <w:bCs/>
    </w:rPr>
  </w:style>
  <w:style w:type="numbering" w:styleId="684" w:default="1">
    <w:name w:val="No List"/>
    <w:uiPriority w:val="99"/>
    <w:semiHidden/>
    <w:unhideWhenUsed/>
    <w:qFormat/>
  </w:style>
  <w:style w:type="table" w:styleId="990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</dc:creator>
  <dc:description/>
  <dc:language>ru-RU</dc:language>
  <cp:lastModifiedBy>shevchenko_ko</cp:lastModifiedBy>
  <cp:revision>52</cp:revision>
  <dcterms:created xsi:type="dcterms:W3CDTF">2017-09-18T04:01:00Z</dcterms:created>
  <dcterms:modified xsi:type="dcterms:W3CDTF">2026-07-02T05:43:13Z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